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PC-101</w:t>
      </w:r>
    </w:p>
    <w:p>
      <w:pPr>
        <w:spacing w:after="120"/>
      </w:pPr>
      <w:r>
        <w:rPr>
          <w:rFonts w:ascii="Calibri" w:cs="Calibri" w:eastAsia="Calibri" w:hAnsi="Calibri"/>
          <w:b/>
          <w:bCs/>
          <w:color w:val="1F3864"/>
          <w:sz w:val="52"/>
          <w:szCs w:val="52"/>
        </w:rPr>
        <w:t xml:space="preserve">Severity and Finding Standards</w:t>
      </w:r>
    </w:p>
    <w:p>
      <w:pPr>
        <w:spacing w:after="100"/>
      </w:pPr>
      <w:r>
        <w:rPr>
          <w:rFonts w:ascii="Calibri" w:cs="Calibri" w:eastAsia="Calibri" w:hAnsi="Calibri"/>
          <w:color w:val="595959"/>
          <w:sz w:val="24"/>
          <w:szCs w:val="24"/>
        </w:rPr>
        <w:t xml:space="preserve">Severity calibration, the four-part finding structure, writing standards, and the peer review standard</w:t>
      </w:r>
    </w:p>
    <w:p>
      <w:pPr>
        <w:pBdr>
          <w:bottom w:val="single" w:color="2E74B5" w:sz="8" w:space="6"/>
        </w:pBdr>
        <w:spacing w:after="80"/>
      </w:pPr>
      <w:r>
        <w:rPr>
          <w:rFonts w:ascii="Calibri" w:cs="Calibri" w:eastAsia="Calibri" w:hAnsi="Calibri"/>
          <w:color w:val="595959"/>
          <w:sz w:val="20"/>
          <w:szCs w:val="20"/>
        </w:rPr>
        <w:t xml:space="preserve">Quality Reference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1. The Five Severity Levels</w:t>
      </w:r>
    </w:p>
    <w:p>
      <w:pPr>
        <w:spacing w:after="120" w:before="0" w:line="276"/>
      </w:pPr>
      <w:r>
        <w:rPr>
          <w:rFonts w:ascii="Calibri" w:cs="Calibri" w:eastAsia="Calibri" w:hAnsi="Calibri"/>
          <w:color w:val="404040"/>
          <w:sz w:val="21"/>
          <w:szCs w:val="21"/>
        </w:rPr>
        <w:t xml:space="preserve">Every finding in the After-Action Report receives exactly one severity rating. Use this reference to calibrate. When in doubt, rate conservatively (higher severity) and document your rationale, the peer reviewer can make the case to calibrate downward.</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C00000" w:sz="24"/>
              <w:bottom w:val="none" w:color="FFFFFF" w:sz="0"/>
              <w:right w:val="none" w:color="FFFFFF" w:sz="0"/>
            </w:tcBorders>
            <w:shd w:fill="FBE4E4" w:val="clear"/>
            <w:tcMar>
              <w:top w:type="dxa" w:w="100"/>
              <w:left w:type="dxa" w:w="160"/>
              <w:bottom w:type="dxa" w:w="100"/>
              <w:right w:type="dxa" w:w="160"/>
            </w:tcMar>
          </w:tcPr>
          <w:p>
            <w:pPr>
              <w:spacing w:after="60"/>
            </w:pPr>
            <w:r>
              <w:rPr>
                <w:rFonts w:ascii="Calibri" w:cs="Calibri" w:eastAsia="Calibri" w:hAnsi="Calibri"/>
                <w:b/>
                <w:bCs/>
                <w:color w:val="C00000"/>
                <w:sz w:val="20"/>
                <w:szCs w:val="20"/>
              </w:rPr>
              <w:t xml:space="preserve">⚖  ATTORNEY REVIEW REQUIRED</w:t>
            </w:r>
          </w:p>
          <w:p>
            <w:pPr>
              <w:spacing w:after="40" w:before="0" w:line="276"/>
            </w:pPr>
            <w:r>
              <w:rPr>
                <w:rFonts w:ascii="Calibri" w:cs="Calibri" w:eastAsia="Calibri" w:hAnsi="Calibri"/>
                <w:color w:val="404040"/>
                <w:sz w:val="20"/>
                <w:szCs w:val="20"/>
              </w:rPr>
              <w:t xml:space="preserve">This document is an internal quality reference. It is not legal advice, and severity ratings are professional judgments, not compliance determinations.</w:t>
            </w:r>
          </w:p>
        </w:tc>
      </w:tr>
    </w:tbl>
    <w:p>
      <w:pPr>
        <w:pStyle w:val="Heading2"/>
        <w:keepNext/>
        <w:spacing w:after="110" w:before="240"/>
      </w:pPr>
      <w:r>
        <w:rPr>
          <w:rFonts w:ascii="Calibri" w:cs="Calibri" w:eastAsia="Calibri" w:hAnsi="Calibri"/>
          <w:b/>
          <w:bCs/>
          <w:color w:val="2E74B5"/>
          <w:sz w:val="25"/>
          <w:szCs w:val="25"/>
        </w:rPr>
        <w:t xml:space="preserve">CRITICAL</w:t>
      </w:r>
    </w:p>
    <w:p>
      <w:pPr>
        <w:spacing w:after="120" w:before="0" w:line="276"/>
      </w:pPr>
      <w:r>
        <w:rPr>
          <w:rFonts w:ascii="Calibri" w:cs="Calibri" w:eastAsia="Calibri" w:hAnsi="Calibri"/>
          <w:color w:val="404040"/>
          <w:sz w:val="21"/>
          <w:szCs w:val="21"/>
        </w:rPr>
        <w:t xml:space="preserve">An immediate, material threat to the organization’s ability to continue operations, protect life safety, meet regulatory obligations, or avoid catastrophic financial loss. Requires executive attention within days, not weeks.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Criteria:</w:t>
      </w:r>
      <w:r>
        <w:rPr>
          <w:rFonts w:ascii="Calibri" w:cs="Calibri" w:eastAsia="Calibri" w:hAnsi="Calibri"/>
          <w:color w:val="404040"/>
          <w:sz w:val="21"/>
          <w:szCs w:val="21"/>
        </w:rPr>
        <w:t xml:space="preserve"> affects life safety OR regulatory violation is imminent or ongoing OR a single point of failure with no workaround exists OR financial exposure exceeds the organization’s risk tolerance.</w:t>
      </w:r>
    </w:p>
    <w:p>
      <w:pPr>
        <w:spacing w:after="120" w:before="0" w:line="276"/>
      </w:pPr>
      <w:r>
        <w:rPr>
          <w:rFonts w:ascii="Calibri" w:cs="Calibri" w:eastAsia="Calibri" w:hAnsi="Calibri"/>
          <w:i/>
          <w:iCs/>
          <w:color w:val="404040"/>
          <w:sz w:val="21"/>
          <w:szCs w:val="21"/>
        </w:rPr>
        <w:t xml:space="preserve"/>
      </w:r>
      <w:r>
        <w:rPr>
          <w:rFonts w:ascii="Calibri" w:cs="Calibri" w:eastAsia="Calibri" w:hAnsi="Calibri"/>
          <w:b/>
          <w:bCs/>
          <w:i/>
          <w:iCs/>
          <w:color w:val="404040"/>
          <w:sz w:val="21"/>
          <w:szCs w:val="21"/>
        </w:rPr>
        <w:t xml:space="preserve">Example:</w:t>
      </w:r>
      <w:r>
        <w:rPr>
          <w:rFonts w:ascii="Calibri" w:cs="Calibri" w:eastAsia="Calibri" w:hAnsi="Calibri"/>
          <w:i/>
          <w:iCs/>
          <w:color w:val="404040"/>
          <w:sz w:val="21"/>
          <w:szCs w:val="21"/>
        </w:rPr>
        <w:t xml:space="preserve"> No incident response plan exists. The organization has no documented process for responding to any type of disruption. When asked “what would you do first,” participants could not articulate a coordinated response.</w:t>
      </w:r>
    </w:p>
    <w:p>
      <w:pPr>
        <w:pStyle w:val="Heading2"/>
        <w:keepNext/>
        <w:spacing w:after="110" w:before="240"/>
      </w:pPr>
      <w:r>
        <w:rPr>
          <w:rFonts w:ascii="Calibri" w:cs="Calibri" w:eastAsia="Calibri" w:hAnsi="Calibri"/>
          <w:b/>
          <w:bCs/>
          <w:color w:val="2E74B5"/>
          <w:sz w:val="25"/>
          <w:szCs w:val="25"/>
        </w:rPr>
        <w:t xml:space="preserve">HIGH</w:t>
      </w:r>
    </w:p>
    <w:p>
      <w:pPr>
        <w:spacing w:after="120" w:before="0" w:line="276"/>
      </w:pPr>
      <w:r>
        <w:rPr>
          <w:rFonts w:ascii="Calibri" w:cs="Calibri" w:eastAsia="Calibri" w:hAnsi="Calibri"/>
          <w:color w:val="404040"/>
          <w:sz w:val="21"/>
          <w:szCs w:val="21"/>
        </w:rPr>
        <w:t xml:space="preserve">A significant gap that materially weakens the organization’s resilience. The capability exists in some form but has serious deficiencies that would likely cause failure under real incident conditions. Requires action within 30 days.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Criteria:</w:t>
      </w:r>
      <w:r>
        <w:rPr>
          <w:rFonts w:ascii="Calibri" w:cs="Calibri" w:eastAsia="Calibri" w:hAnsi="Calibri"/>
          <w:color w:val="404040"/>
          <w:sz w:val="21"/>
          <w:szCs w:val="21"/>
        </w:rPr>
        <w:t xml:space="preserve"> capability exists but is critically incomplete OR has never been tested OR depends on a single person OR has a known deficiency that participants acknowledged during the exercise.</w:t>
      </w:r>
    </w:p>
    <w:p>
      <w:pPr>
        <w:spacing w:after="120" w:before="0" w:line="276"/>
      </w:pPr>
      <w:r>
        <w:rPr>
          <w:rFonts w:ascii="Calibri" w:cs="Calibri" w:eastAsia="Calibri" w:hAnsi="Calibri"/>
          <w:i/>
          <w:iCs/>
          <w:color w:val="404040"/>
          <w:sz w:val="21"/>
          <w:szCs w:val="21"/>
        </w:rPr>
        <w:t xml:space="preserve"/>
      </w:r>
      <w:r>
        <w:rPr>
          <w:rFonts w:ascii="Calibri" w:cs="Calibri" w:eastAsia="Calibri" w:hAnsi="Calibri"/>
          <w:b/>
          <w:bCs/>
          <w:i/>
          <w:iCs/>
          <w:color w:val="404040"/>
          <w:sz w:val="21"/>
          <w:szCs w:val="21"/>
        </w:rPr>
        <w:t xml:space="preserve">Example:</w:t>
      </w:r>
      <w:r>
        <w:rPr>
          <w:rFonts w:ascii="Calibri" w:cs="Calibri" w:eastAsia="Calibri" w:hAnsi="Calibri"/>
          <w:i/>
          <w:iCs/>
          <w:color w:val="404040"/>
          <w:sz w:val="21"/>
          <w:szCs w:val="21"/>
        </w:rPr>
        <w:t xml:space="preserve"> An incident response plan exists but has not been reviewed or tested in over 2 years. Key contact information is outdated. Participants were uncertain whether the plan reflects current systems and personnel.</w:t>
      </w:r>
    </w:p>
    <w:p>
      <w:pPr>
        <w:pStyle w:val="Heading2"/>
        <w:keepNext/>
        <w:spacing w:after="110" w:before="240"/>
      </w:pPr>
      <w:r>
        <w:rPr>
          <w:rFonts w:ascii="Calibri" w:cs="Calibri" w:eastAsia="Calibri" w:hAnsi="Calibri"/>
          <w:b/>
          <w:bCs/>
          <w:color w:val="2E74B5"/>
          <w:sz w:val="25"/>
          <w:szCs w:val="25"/>
        </w:rPr>
        <w:t xml:space="preserve">MEDIUM</w:t>
      </w:r>
    </w:p>
    <w:p>
      <w:pPr>
        <w:spacing w:after="120" w:before="0" w:line="276"/>
      </w:pPr>
      <w:r>
        <w:rPr>
          <w:rFonts w:ascii="Calibri" w:cs="Calibri" w:eastAsia="Calibri" w:hAnsi="Calibri"/>
          <w:color w:val="404040"/>
          <w:sz w:val="21"/>
          <w:szCs w:val="21"/>
        </w:rPr>
        <w:t xml:space="preserve">A meaningful gap that reduces effectiveness but would not likely cause complete failure. The capability exists and functions at a basic level but needs improvement in scope, documentation, or practice. Requires action within 90 days.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Criteria:</w:t>
      </w:r>
      <w:r>
        <w:rPr>
          <w:rFonts w:ascii="Calibri" w:cs="Calibri" w:eastAsia="Calibri" w:hAnsi="Calibri"/>
          <w:color w:val="404040"/>
          <w:sz w:val="21"/>
          <w:szCs w:val="21"/>
        </w:rPr>
        <w:t xml:space="preserve"> process exists but is informal or undocumented OR capability has gaps in coverage OR a plan exists but hasn’t been tested OR cross-functional coordination was slow but eventually effective.</w:t>
      </w:r>
    </w:p>
    <w:p>
      <w:pPr>
        <w:spacing w:after="120" w:before="0" w:line="276"/>
      </w:pPr>
      <w:r>
        <w:rPr>
          <w:rFonts w:ascii="Calibri" w:cs="Calibri" w:eastAsia="Calibri" w:hAnsi="Calibri"/>
          <w:i/>
          <w:iCs/>
          <w:color w:val="404040"/>
          <w:sz w:val="21"/>
          <w:szCs w:val="21"/>
        </w:rPr>
        <w:t xml:space="preserve"/>
      </w:r>
      <w:r>
        <w:rPr>
          <w:rFonts w:ascii="Calibri" w:cs="Calibri" w:eastAsia="Calibri" w:hAnsi="Calibri"/>
          <w:b/>
          <w:bCs/>
          <w:i/>
          <w:iCs/>
          <w:color w:val="404040"/>
          <w:sz w:val="21"/>
          <w:szCs w:val="21"/>
        </w:rPr>
        <w:t xml:space="preserve">Example:</w:t>
      </w:r>
      <w:r>
        <w:rPr>
          <w:rFonts w:ascii="Calibri" w:cs="Calibri" w:eastAsia="Calibri" w:hAnsi="Calibri"/>
          <w:i/>
          <w:iCs/>
          <w:color w:val="404040"/>
          <w:sz w:val="21"/>
          <w:szCs w:val="21"/>
        </w:rPr>
        <w:t xml:space="preserve"> The organization has a communication plan but it lacks templates, pre-approved messaging, and assigned spokespersons. Participants spent 15 minutes debating who should communicate with customers before identifying a lead.</w:t>
      </w:r>
    </w:p>
    <w:p>
      <w:pPr>
        <w:pStyle w:val="Heading2"/>
        <w:keepNext/>
        <w:spacing w:after="110" w:before="240"/>
      </w:pPr>
      <w:r>
        <w:rPr>
          <w:rFonts w:ascii="Calibri" w:cs="Calibri" w:eastAsia="Calibri" w:hAnsi="Calibri"/>
          <w:b/>
          <w:bCs/>
          <w:color w:val="2E74B5"/>
          <w:sz w:val="25"/>
          <w:szCs w:val="25"/>
        </w:rPr>
        <w:t xml:space="preserve">LOW</w:t>
      </w:r>
    </w:p>
    <w:p>
      <w:pPr>
        <w:spacing w:after="120" w:before="0" w:line="276"/>
      </w:pPr>
      <w:r>
        <w:rPr>
          <w:rFonts w:ascii="Calibri" w:cs="Calibri" w:eastAsia="Calibri" w:hAnsi="Calibri"/>
          <w:color w:val="404040"/>
          <w:sz w:val="21"/>
          <w:szCs w:val="21"/>
        </w:rPr>
        <w:t xml:space="preserve">A minor gap or improvement opportunity that does not materially affect resilience. The capability is functional and the organization would likely manage effectively, but refinement would improve efficiency or reduce confusion. Address within 6 months or the next planning cycle.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Criteria:</w:t>
      </w:r>
      <w:r>
        <w:rPr>
          <w:rFonts w:ascii="Calibri" w:cs="Calibri" w:eastAsia="Calibri" w:hAnsi="Calibri"/>
          <w:color w:val="404040"/>
          <w:sz w:val="21"/>
          <w:szCs w:val="21"/>
        </w:rPr>
        <w:t xml:space="preserve"> capability is functional but could be more efficient OR documentation exists but needs updating OR the process works but relies on institutional knowledge that should be formalized.</w:t>
      </w:r>
    </w:p>
    <w:p>
      <w:pPr>
        <w:spacing w:after="120" w:before="0" w:line="276"/>
      </w:pPr>
      <w:r>
        <w:rPr>
          <w:rFonts w:ascii="Calibri" w:cs="Calibri" w:eastAsia="Calibri" w:hAnsi="Calibri"/>
          <w:i/>
          <w:iCs/>
          <w:color w:val="404040"/>
          <w:sz w:val="21"/>
          <w:szCs w:val="21"/>
        </w:rPr>
        <w:t xml:space="preserve"/>
      </w:r>
      <w:r>
        <w:rPr>
          <w:rFonts w:ascii="Calibri" w:cs="Calibri" w:eastAsia="Calibri" w:hAnsi="Calibri"/>
          <w:b/>
          <w:bCs/>
          <w:i/>
          <w:iCs/>
          <w:color w:val="404040"/>
          <w:sz w:val="21"/>
          <w:szCs w:val="21"/>
        </w:rPr>
        <w:t xml:space="preserve">Example:</w:t>
      </w:r>
      <w:r>
        <w:rPr>
          <w:rFonts w:ascii="Calibri" w:cs="Calibri" w:eastAsia="Calibri" w:hAnsi="Calibri"/>
          <w:i/>
          <w:iCs/>
          <w:color w:val="404040"/>
          <w:sz w:val="21"/>
          <w:szCs w:val="21"/>
        </w:rPr>
        <w:t xml:space="preserve"> The vendor contact list is maintained by one person and is not accessible to others. Participants could identify the correct vendor but needed several minutes to locate contact information.</w:t>
      </w:r>
    </w:p>
    <w:p>
      <w:pPr>
        <w:pStyle w:val="Heading2"/>
        <w:keepNext/>
        <w:spacing w:after="110" w:before="240"/>
      </w:pPr>
      <w:r>
        <w:rPr>
          <w:rFonts w:ascii="Calibri" w:cs="Calibri" w:eastAsia="Calibri" w:hAnsi="Calibri"/>
          <w:b/>
          <w:bCs/>
          <w:color w:val="2E74B5"/>
          <w:sz w:val="25"/>
          <w:szCs w:val="25"/>
        </w:rPr>
        <w:t xml:space="preserve">INFORMATIONAL (Strength)</w:t>
      </w:r>
    </w:p>
    <w:p>
      <w:pPr>
        <w:spacing w:after="120" w:before="0" w:line="276"/>
      </w:pPr>
      <w:r>
        <w:rPr>
          <w:rFonts w:ascii="Calibri" w:cs="Calibri" w:eastAsia="Calibri" w:hAnsi="Calibri"/>
          <w:color w:val="404040"/>
          <w:sz w:val="21"/>
          <w:szCs w:val="21"/>
        </w:rPr>
        <w:t xml:space="preserve">A demonstrated capability that met or exceeded expectations during the exercise. Strengths are documented with the same rigor as gaps. The recommendation focuses on maintaining and building upon the demonstrated capability.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Criteria:</w:t>
      </w:r>
      <w:r>
        <w:rPr>
          <w:rFonts w:ascii="Calibri" w:cs="Calibri" w:eastAsia="Calibri" w:hAnsi="Calibri"/>
          <w:color w:val="404040"/>
          <w:sz w:val="21"/>
          <w:szCs w:val="21"/>
        </w:rPr>
        <w:t xml:space="preserve"> participants demonstrated clear knowledge and coordinated action OR a documented process was followed effectively OR decision-making was timely, well-informed, and appropriately escalated.</w:t>
      </w:r>
    </w:p>
    <w:p>
      <w:pPr>
        <w:spacing w:after="120" w:before="0" w:line="276"/>
      </w:pPr>
      <w:r>
        <w:rPr>
          <w:rFonts w:ascii="Calibri" w:cs="Calibri" w:eastAsia="Calibri" w:hAnsi="Calibri"/>
          <w:i/>
          <w:iCs/>
          <w:color w:val="404040"/>
          <w:sz w:val="21"/>
          <w:szCs w:val="21"/>
        </w:rPr>
        <w:t xml:space="preserve"/>
      </w:r>
      <w:r>
        <w:rPr>
          <w:rFonts w:ascii="Calibri" w:cs="Calibri" w:eastAsia="Calibri" w:hAnsi="Calibri"/>
          <w:b/>
          <w:bCs/>
          <w:i/>
          <w:iCs/>
          <w:color w:val="404040"/>
          <w:sz w:val="21"/>
          <w:szCs w:val="21"/>
        </w:rPr>
        <w:t xml:space="preserve">Example:</w:t>
      </w:r>
      <w:r>
        <w:rPr>
          <w:rFonts w:ascii="Calibri" w:cs="Calibri" w:eastAsia="Calibri" w:hAnsi="Calibri"/>
          <w:i/>
          <w:iCs/>
          <w:color w:val="404040"/>
          <w:sz w:val="21"/>
          <w:szCs w:val="21"/>
        </w:rPr>
        <w:t xml:space="preserve"> The CFO immediately identified the organization’s cyber insurance carrier, knew the notification window, and could articulate the claims process. The finance team demonstrated practiced coordination that would translate effectively to a real incident.</w:t>
      </w:r>
    </w:p>
    <w:p>
      <w:pPr>
        <w:pStyle w:val="Heading1"/>
        <w:keepNext/>
        <w:spacing w:after="140" w:before="320"/>
      </w:pPr>
      <w:r>
        <w:rPr>
          <w:rFonts w:ascii="Calibri" w:cs="Calibri" w:eastAsia="Calibri" w:hAnsi="Calibri"/>
          <w:b/>
          <w:bCs/>
          <w:color w:val="1F3864"/>
          <w:sz w:val="30"/>
          <w:szCs w:val="30"/>
        </w:rPr>
        <w:t xml:space="preserve">2. Calibration Guidance</w:t>
      </w:r>
    </w:p>
    <w:p>
      <w:pPr>
        <w:pStyle w:val="Heading2"/>
        <w:keepNext/>
        <w:spacing w:after="110" w:before="240"/>
      </w:pPr>
      <w:r>
        <w:rPr>
          <w:rFonts w:ascii="Calibri" w:cs="Calibri" w:eastAsia="Calibri" w:hAnsi="Calibri"/>
          <w:b/>
          <w:bCs/>
          <w:color w:val="2E74B5"/>
          <w:sz w:val="25"/>
          <w:szCs w:val="25"/>
        </w:rPr>
        <w:t xml:space="preserve">2.1 Context Drives Severity</w:t>
      </w:r>
    </w:p>
    <w:p>
      <w:pPr>
        <w:spacing w:after="120" w:before="0" w:line="276"/>
      </w:pPr>
      <w:r>
        <w:rPr>
          <w:rFonts w:ascii="Calibri" w:cs="Calibri" w:eastAsia="Calibri" w:hAnsi="Calibri"/>
          <w:color w:val="404040"/>
          <w:sz w:val="21"/>
          <w:szCs w:val="21"/>
        </w:rPr>
        <w:t xml:space="preserve">The same observation can be rated differently depending on organizational context. “No backup testing in the past 6 months” is Critical for a healthcare organization with HIPAA obligations and High for a professional services firm with no regulatory mandate. Four criteria determine where a finding lands: scope of impact, regulatory implications, compensating controls, and organizational risk tolerance.</w:t>
      </w:r>
    </w:p>
    <w:p>
      <w:pPr>
        <w:pStyle w:val="Heading2"/>
        <w:keepNext/>
        <w:spacing w:after="110" w:before="240"/>
      </w:pPr>
      <w:r>
        <w:rPr>
          <w:rFonts w:ascii="Calibri" w:cs="Calibri" w:eastAsia="Calibri" w:hAnsi="Calibri"/>
          <w:b/>
          <w:bCs/>
          <w:color w:val="2E74B5"/>
          <w:sz w:val="25"/>
          <w:szCs w:val="25"/>
        </w:rPr>
        <w:t xml:space="preserve">2.2 Typical Distribution</w:t>
      </w:r>
    </w:p>
    <w:p>
      <w:pPr>
        <w:spacing w:after="120" w:before="0" w:line="276"/>
      </w:pPr>
      <w:r>
        <w:rPr>
          <w:rFonts w:ascii="Calibri" w:cs="Calibri" w:eastAsia="Calibri" w:hAnsi="Calibri"/>
          <w:color w:val="404040"/>
          <w:sz w:val="21"/>
          <w:szCs w:val="21"/>
        </w:rPr>
        <w:t xml:space="preserve">A well-calibrated Pulse Check AAR typically produces 8 to 15 findings, distributed roughly as follows. This is a guideline, not a target, if an exercise produces 3 Critical findings and no Lows, that is what the exercise produced.</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700"/>
        <w:gridCol w:w="1700"/>
        <w:gridCol w:w="5960"/>
      </w:tblGrid>
      <w:tr>
        <w:trPr>
          <w:tblHeader/>
        </w:trPr>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Level</w:t>
            </w:r>
          </w:p>
        </w:tc>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Typical Count</w:t>
            </w:r>
          </w:p>
        </w:tc>
        <w:tc>
          <w:tcPr>
            <w:tcW w:type="dxa" w:w="5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You Have More Than Expected</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Verify each meets the “immediate, material threat” threshold. Are these truly existential, or are some High-severity gaps?</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High</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2–4</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Common and expected. Most organizations have significant gaps they haven’t tested.</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Medium</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3–5</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bulk of most AARs. These are the actionable middle ground.</w:t>
            </w:r>
          </w:p>
        </w:tc>
      </w:tr>
      <w:tr>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Low</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you have many Lows, check whether some should be Medium. A Low finding that affects compliance should be rated Medium instead.</w:t>
            </w:r>
          </w:p>
        </w:tc>
      </w:tr>
      <w:tr>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Informational</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2–4</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Always document strengths. If you found zero strengths, you weren’t looking hard enough.</w:t>
            </w:r>
          </w:p>
        </w:tc>
      </w:tr>
    </w:tbl>
    <w:p>
      <w:pPr>
        <w:pStyle w:val="Heading1"/>
        <w:keepNext/>
        <w:spacing w:after="140" w:before="320"/>
      </w:pPr>
      <w:r>
        <w:rPr>
          <w:rFonts w:ascii="Calibri" w:cs="Calibri" w:eastAsia="Calibri" w:hAnsi="Calibri"/>
          <w:b/>
          <w:bCs/>
          <w:color w:val="1F3864"/>
          <w:sz w:val="30"/>
          <w:szCs w:val="30"/>
        </w:rPr>
        <w:t xml:space="preserve">3. The Four-Part Finding Structure</w:t>
      </w:r>
    </w:p>
    <w:p>
      <w:pPr>
        <w:spacing w:after="120" w:before="0" w:line="276"/>
      </w:pPr>
      <w:r>
        <w:rPr>
          <w:rFonts w:ascii="Calibri" w:cs="Calibri" w:eastAsia="Calibri" w:hAnsi="Calibri"/>
          <w:color w:val="404040"/>
          <w:sz w:val="21"/>
          <w:szCs w:val="21"/>
        </w:rPr>
        <w:t xml:space="preserve">Every finding, gap or strength, follows this structure with no exceptions: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900"/>
        <w:gridCol w:w="6460"/>
      </w:tblGrid>
      <w:tr>
        <w:trPr>
          <w:tblHeader/>
        </w:trPr>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6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Contains</w:t>
            </w:r>
          </w:p>
        </w:tc>
      </w:tr>
      <w:tr>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Observation</w:t>
            </w:r>
          </w:p>
        </w:tc>
        <w:tc>
          <w:tcPr>
            <w:tcW w:type="dxa" w:w="6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was observed during the exercise. Factual, specific, non-judgmental. Never names individuals.</w:t>
            </w:r>
          </w:p>
        </w:tc>
      </w:tr>
      <w:tr>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Context and Risk Impact</w:t>
            </w:r>
          </w:p>
        </w:tc>
        <w:tc>
          <w:tcPr>
            <w:tcW w:type="dxa" w:w="6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Why it matters. Business consequences. What would happen in a real incident if this gap persisted. Specific to this organization, not generic.</w:t>
            </w:r>
          </w:p>
        </w:tc>
      </w:tr>
      <w:tr>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Recommendation</w:t>
            </w:r>
          </w:p>
        </w:tc>
        <w:tc>
          <w:tcPr>
            <w:tcW w:type="dxa" w:w="6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Specific, actionable steps to address the gap (or maintain the strength). Includes a timeframe aligned to the severity level.</w:t>
            </w:r>
          </w:p>
        </w:tc>
      </w:tr>
      <w:tr>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Severity Rating and Framework Mapping</w:t>
            </w:r>
          </w:p>
        </w:tc>
        <w:tc>
          <w:tcPr>
            <w:tcW w:type="dxa" w:w="6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Exactly one severity level, plus the compliance framework(s) the finding relates to (NIST CSF 2.0, HIPAA, PCI-DSS, CMMC, SOC 2, ISO 27001) where relevant.</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QUALITY STANDARD: Timeframes Follow Severity</w:t>
            </w:r>
          </w:p>
          <w:p>
            <w:pPr>
              <w:spacing w:after="40" w:before="0" w:line="276"/>
            </w:pPr>
            <w:r>
              <w:rPr>
                <w:rFonts w:ascii="Calibri" w:cs="Calibri" w:eastAsia="Calibri" w:hAnsi="Calibri"/>
                <w:color w:val="404040"/>
                <w:sz w:val="20"/>
                <w:szCs w:val="20"/>
              </w:rPr>
              <w:t xml:space="preserve">Critical → action within 0–30 days (Immediate tier). High → 30–60 days (Near-Term). Medium → 60–90 days (Planned). Low → 90–180 days (Opportunistic). Informational → ongoing (Maintain). A Critical finding with a 6-month recommendation is a calibration failure.</w:t>
            </w:r>
          </w:p>
        </w:tc>
      </w:tr>
    </w:tbl>
    <w:p>
      <w:pPr>
        <w:pStyle w:val="Heading1"/>
        <w:keepNext/>
        <w:spacing w:after="140" w:before="320"/>
      </w:pPr>
      <w:r>
        <w:rPr>
          <w:rFonts w:ascii="Calibri" w:cs="Calibri" w:eastAsia="Calibri" w:hAnsi="Calibri"/>
          <w:b/>
          <w:bCs/>
          <w:color w:val="1F3864"/>
          <w:sz w:val="30"/>
          <w:szCs w:val="30"/>
        </w:rPr>
        <w:t xml:space="preserve">4. Writing Standards for Findings</w:t>
      </w:r>
    </w:p>
    <w:p>
      <w:pPr>
        <w:spacing w:after="120" w:before="0" w:line="276"/>
      </w:pPr>
      <w:r>
        <w:rPr>
          <w:rFonts w:ascii="Calibri" w:cs="Calibri" w:eastAsia="Calibri" w:hAnsi="Calibri"/>
          <w:color w:val="404040"/>
          <w:sz w:val="21"/>
          <w:szCs w:val="21"/>
        </w:rPr>
        <w:t xml:space="preserve">These standards govern every finding and every client-facing sentence in the AAR. The peer reviewer checks compliance.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Organizational, never individual.</w:t>
      </w:r>
      <w:r>
        <w:rPr>
          <w:rFonts w:ascii="Calibri" w:cs="Calibri" w:eastAsia="Calibri" w:hAnsi="Calibri"/>
          <w:color w:val="404040"/>
          <w:sz w:val="21"/>
          <w:szCs w:val="21"/>
        </w:rPr>
        <w:t xml:space="preserve"> “No one in the room knew the escalation threshold” is an organizational observation. “John didn’t know the escalation threshold” is a personal judgment that never appears in any document. No blame-assigning language, ever.</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Factual and specific.</w:t>
      </w:r>
      <w:r>
        <w:rPr>
          <w:rFonts w:ascii="Calibri" w:cs="Calibri" w:eastAsia="Calibri" w:hAnsi="Calibri"/>
          <w:color w:val="404040"/>
          <w:sz w:val="21"/>
          <w:szCs w:val="21"/>
        </w:rPr>
        <w:t xml:space="preserve"> Every observation references what participants said, decided, or could not answer during this specific exercise. Include concrete details: elapsed minutes of debate, the question that went unanswered, the estimate participants gave.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Business-impact framing.</w:t>
      </w:r>
      <w:r>
        <w:rPr>
          <w:rFonts w:ascii="Calibri" w:cs="Calibri" w:eastAsia="Calibri" w:hAnsi="Calibri"/>
          <w:color w:val="404040"/>
          <w:sz w:val="21"/>
          <w:szCs w:val="21"/>
        </w:rPr>
        <w:t xml:space="preserve"> The Context element connects the observation to operational, financial, regulatory, or reputational consequences, in language a non-technical executive understands.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Actionable recommendations.</w:t>
      </w:r>
      <w:r>
        <w:rPr>
          <w:rFonts w:ascii="Calibri" w:cs="Calibri" w:eastAsia="Calibri" w:hAnsi="Calibri"/>
          <w:color w:val="404040"/>
          <w:sz w:val="21"/>
          <w:szCs w:val="21"/>
        </w:rPr>
        <w:t xml:space="preserve"> “Improve incident response capabilities” is not a recommendation. “Develop a communication plan that identifies designated spokespersons, pre-approved holding statements, and escalation thresholds, and validate it through a focused exercise within 90 days” is a recommendation. A reader should be able to begin implementation without further clarification.</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No urgency, sales, or product language.</w:t>
      </w:r>
      <w:r>
        <w:rPr>
          <w:rFonts w:ascii="Calibri" w:cs="Calibri" w:eastAsia="Calibri" w:hAnsi="Calibri"/>
          <w:color w:val="404040"/>
          <w:sz w:val="21"/>
          <w:szCs w:val="21"/>
        </w:rPr>
        <w:t xml:space="preserve"> The AAR recommends actions, not products. No vendor names, no service pitches, no fear framing.</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Strengths get equal rigor.</w:t>
      </w:r>
      <w:r>
        <w:rPr>
          <w:rFonts w:ascii="Calibri" w:cs="Calibri" w:eastAsia="Calibri" w:hAnsi="Calibri"/>
          <w:color w:val="404040"/>
          <w:sz w:val="21"/>
          <w:szCs w:val="21"/>
        </w:rPr>
        <w:t xml:space="preserve"> Strength findings are as specific and evidence-based as gaps. Generic praise (“the team communicated well”) fails peer review.</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No copy-paste findings.</w:t>
      </w:r>
      <w:r>
        <w:rPr>
          <w:rFonts w:ascii="Calibri" w:cs="Calibri" w:eastAsia="Calibri" w:hAnsi="Calibri"/>
          <w:color w:val="404040"/>
          <w:sz w:val="21"/>
          <w:szCs w:val="21"/>
        </w:rPr>
        <w:t xml:space="preserve"> A finding that could apply unchanged to any organization is not a finding. Every finding must be traceable to a specific observation from this exercise.</w:t>
      </w:r>
    </w:p>
    <w:p>
      <w:pPr>
        <w:pStyle w:val="Heading1"/>
        <w:keepNext/>
        <w:spacing w:after="140" w:before="320"/>
      </w:pPr>
      <w:r>
        <w:rPr>
          <w:rFonts w:ascii="Calibri" w:cs="Calibri" w:eastAsia="Calibri" w:hAnsi="Calibri"/>
          <w:b/>
          <w:bCs/>
          <w:color w:val="1F3864"/>
          <w:sz w:val="30"/>
          <w:szCs w:val="30"/>
        </w:rPr>
        <w:t xml:space="preserve">5. The Peer Review Standard</w:t>
      </w:r>
    </w:p>
    <w:p>
      <w:pPr>
        <w:spacing w:after="120" w:before="0" w:line="276"/>
      </w:pPr>
      <w:r>
        <w:rPr>
          <w:rFonts w:ascii="Calibri" w:cs="Calibri" w:eastAsia="Calibri" w:hAnsi="Calibri"/>
          <w:color w:val="404040"/>
          <w:sz w:val="21"/>
          <w:szCs w:val="21"/>
        </w:rPr>
        <w:t xml:space="preserve">Peer review is the strongest quality control for AAR calibration. When a qualified reviewer who was not involved in the exercise is available, peer review before delivery is the gold standard. For solo practitioners or small teams starting out, reviewing your draft AAR against these standards using an AI tool is a reasonable first step, AI review will catch structural gaps, severity-recommendation mismatches, and writing standard violations. However, AI review alone is not a substitute for human judgment as your practice matures. Build toward a reciprocal peer review relationship with another practitioner. The reviewer (human or AI) checks:</w:t>
      </w:r>
    </w:p>
    <w:p>
      <w:pPr>
        <w:pStyle w:val="ListParagraph"/>
        <w:numPr>
          <w:ilvl w:val="0"/>
          <w:numId w:val="2"/>
        </w:numPr>
        <w:spacing w:after="80" w:line="276"/>
      </w:pPr>
      <w:r>
        <w:rPr>
          <w:rFonts w:ascii="Calibri" w:cs="Calibri" w:eastAsia="Calibri" w:hAnsi="Calibri"/>
          <w:color w:val="404040"/>
          <w:sz w:val="21"/>
          <w:szCs w:val="21"/>
        </w:rPr>
        <w:t xml:space="preserve">Does each finding meet the threshold for its assigned severity level based on the definitions above?</w:t>
      </w:r>
    </w:p>
    <w:p>
      <w:pPr>
        <w:pStyle w:val="ListParagraph"/>
        <w:numPr>
          <w:ilvl w:val="0"/>
          <w:numId w:val="2"/>
        </w:numPr>
        <w:spacing w:after="80" w:line="276"/>
      </w:pPr>
      <w:r>
        <w:rPr>
          <w:rFonts w:ascii="Calibri" w:cs="Calibri" w:eastAsia="Calibri" w:hAnsi="Calibri"/>
          <w:color w:val="404040"/>
          <w:sz w:val="21"/>
          <w:szCs w:val="21"/>
        </w:rPr>
        <w:t xml:space="preserve">Would a different organizational context change the rating? If so, is the context documented?</w:t>
      </w:r>
    </w:p>
    <w:p>
      <w:pPr>
        <w:pStyle w:val="ListParagraph"/>
        <w:numPr>
          <w:ilvl w:val="0"/>
          <w:numId w:val="2"/>
        </w:numPr>
        <w:spacing w:after="80" w:line="276"/>
      </w:pPr>
      <w:r>
        <w:rPr>
          <w:rFonts w:ascii="Calibri" w:cs="Calibri" w:eastAsia="Calibri" w:hAnsi="Calibri"/>
          <w:color w:val="404040"/>
          <w:sz w:val="21"/>
          <w:szCs w:val="21"/>
        </w:rPr>
        <w:t xml:space="preserve">Is each observation factual and specific, or does it contain judgment or blame language?</w:t>
      </w:r>
    </w:p>
    <w:p>
      <w:pPr>
        <w:pStyle w:val="ListParagraph"/>
        <w:numPr>
          <w:ilvl w:val="0"/>
          <w:numId w:val="2"/>
        </w:numPr>
        <w:spacing w:after="80" w:line="276"/>
      </w:pPr>
      <w:r>
        <w:rPr>
          <w:rFonts w:ascii="Calibri" w:cs="Calibri" w:eastAsia="Calibri" w:hAnsi="Calibri"/>
          <w:color w:val="404040"/>
          <w:sz w:val="21"/>
          <w:szCs w:val="21"/>
        </w:rPr>
        <w:t xml:space="preserve">Does each recommendation match the severity? (Critical findings need immediate actions, not 6-month plans.)</w:t>
      </w:r>
    </w:p>
    <w:p>
      <w:pPr>
        <w:pStyle w:val="ListParagraph"/>
        <w:numPr>
          <w:ilvl w:val="0"/>
          <w:numId w:val="2"/>
        </w:numPr>
        <w:spacing w:after="80" w:line="276"/>
      </w:pPr>
      <w:r>
        <w:rPr>
          <w:rFonts w:ascii="Calibri" w:cs="Calibri" w:eastAsia="Calibri" w:hAnsi="Calibri"/>
          <w:color w:val="404040"/>
          <w:sz w:val="21"/>
          <w:szCs w:val="21"/>
        </w:rPr>
        <w:t xml:space="preserve">Are strengths documented with the same structural rigor as gaps, minimum 3 per AAR?</w:t>
      </w:r>
    </w:p>
    <w:p>
      <w:pPr>
        <w:pStyle w:val="ListParagraph"/>
        <w:numPr>
          <w:ilvl w:val="0"/>
          <w:numId w:val="2"/>
        </w:numPr>
        <w:spacing w:after="80" w:line="276"/>
      </w:pPr>
      <w:r>
        <w:rPr>
          <w:rFonts w:ascii="Calibri" w:cs="Calibri" w:eastAsia="Calibri" w:hAnsi="Calibri"/>
          <w:color w:val="404040"/>
          <w:sz w:val="21"/>
          <w:szCs w:val="21"/>
        </w:rPr>
        <w:t xml:space="preserve">Are finding identifiers, titles, and ratings consistent across the AAR body, the findings matrix, and the Improvement Plan?</w:t>
      </w:r>
    </w:p>
    <w:p>
      <w:pPr>
        <w:pStyle w:val="ListParagraph"/>
        <w:numPr>
          <w:ilvl w:val="0"/>
          <w:numId w:val="2"/>
        </w:numPr>
        <w:spacing w:after="80" w:line="276"/>
      </w:pPr>
      <w:r>
        <w:rPr>
          <w:rFonts w:ascii="Calibri" w:cs="Calibri" w:eastAsia="Calibri" w:hAnsi="Calibri"/>
          <w:color w:val="404040"/>
          <w:sz w:val="21"/>
          <w:szCs w:val="21"/>
        </w:rPr>
        <w:t xml:space="preserve">Is the scope limitation statement present and unmodified in substance?</w:t>
      </w:r>
    </w:p>
    <w:p>
      <w:pPr>
        <w:spacing w:after="120" w:before="0" w:line="276"/>
      </w:pPr>
      <w:r>
        <w:rPr>
          <w:rFonts w:ascii="Calibri" w:cs="Calibri" w:eastAsia="Calibri" w:hAnsi="Calibri"/>
          <w:color w:val="404040"/>
          <w:sz w:val="21"/>
          <w:szCs w:val="21"/>
        </w:rPr>
        <w:t xml:space="preserve">Calibration disputes are resolved in favor of the definitions in this document. If facilitator and reviewer still disagree, rate conservatively (higher) and note the alternative view in the engagement file.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Companion Reference</w:t>
            </w:r>
          </w:p>
          <w:p>
            <w:pPr>
              <w:spacing w:after="40" w:before="0" w:line="276"/>
            </w:pPr>
            <w:r>
              <w:rPr>
                <w:rFonts w:ascii="Calibri" w:cs="Calibri" w:eastAsia="Calibri" w:hAnsi="Calibri"/>
                <w:color w:val="404040"/>
                <w:sz w:val="20"/>
                <w:szCs w:val="20"/>
              </w:rPr>
              <w:t xml:space="preserve">Use this document together with the Sample Findings Library (this folder), worked examples at every severity level, and the Pulse Check AAR Template (06, Report folder), which defines where findings live in the report.</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Severity and Finding Standards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2026-07-14T20:18:04.049Z</dcterms:created>
  <dcterms:modified xsi:type="dcterms:W3CDTF">2026-07-14T20:18:04.050Z</dcterms:modified>
</cp:coreProperties>
</file>

<file path=docProps/custom.xml><?xml version="1.0" encoding="utf-8"?>
<Properties xmlns="http://schemas.openxmlformats.org/officeDocument/2006/custom-properties" xmlns:vt="http://schemas.openxmlformats.org/officeDocument/2006/docPropsVTypes"/>
</file>